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rFonts w:ascii="Aptos" w:hAnsi="Aptos"/>
          <w:b/>
          <w:color w:val="4F7166"/>
          <w:sz w:val="18"/>
        </w:rPr>
        <w:t>THE SCL PROJECT — SPEAKING CHARLOTTE’S LANGUAGE  ·  PRACTICE NOTE</w:t>
      </w:r>
    </w:p>
    <w:p>
      <w:pPr>
        <w:pStyle w:val="Title"/>
      </w:pPr>
      <w:r>
        <w:t>When Prior Concern Speaks Over Infant Signal</w:t>
      </w:r>
    </w:p>
    <w:p>
      <w:pPr>
        <w:pStyle w:val="Subtitle"/>
      </w:pPr>
      <w:r>
        <w:t>Severance, false completeness, and the loss of the child’s lived relationship</w:t>
      </w:r>
    </w:p>
    <w:p>
      <w:pPr>
        <w:spacing w:after="200"/>
      </w:pPr>
      <w:r>
        <w:rPr>
          <w:rFonts w:ascii="Aptos" w:hAnsi="Aptos"/>
          <w:b/>
          <w:color w:val="5B6470"/>
          <w:sz w:val="17"/>
        </w:rPr>
        <w:t>PUBLIC WORKING NOTE</w:t>
      </w:r>
      <w:r>
        <w:rPr>
          <w:rFonts w:ascii="Aptos" w:hAnsi="Aptos"/>
          <w:b w:val="0"/>
          <w:color w:val="5B6470"/>
          <w:sz w:val="17"/>
        </w:rPr>
        <w:t xml:space="preserve">  ·  19 AUGUST 2026</w:t>
      </w:r>
    </w:p>
    <w:p>
      <w:pPr>
        <w:pStyle w:val="Standfirst"/>
        <w:shd w:fill="EDF4F1"/>
        <w:pBdr>
          <w:left w:val="single" w:sz="18" w:space="8" w:color="4F7166"/>
        </w:pBdr>
        <w:spacing w:before="160" w:after="280"/>
        <w:ind w:left="173" w:right="115"/>
      </w:pPr>
      <w:r>
        <w:t>A public SCL practice note on preserving infant and young-child signal when prior concern, post-contact distress and later record authority risk deciding in advance what a relationship is allowed to mean.</w:t>
      </w:r>
    </w:p>
    <w:p>
      <w:pPr>
        <w:keepLines/>
      </w:pPr>
      <w:r>
        <w:rPr>
          <w:rFonts w:ascii="Aptos" w:hAnsi="Aptos"/>
          <w:b w:val="0"/>
          <w:i w:val="0"/>
          <w:color w:val="243446"/>
        </w:rPr>
        <w:t>An infant’s voice is usually not carried through words.</w:t>
      </w:r>
    </w:p>
    <w:p>
      <w:pPr>
        <w:keepLines/>
      </w:pPr>
      <w:r>
        <w:rPr>
          <w:rFonts w:ascii="Aptos" w:hAnsi="Aptos"/>
          <w:b w:val="0"/>
          <w:i w:val="0"/>
          <w:color w:val="243446"/>
        </w:rPr>
        <w:t>It is carried through signal.</w:t>
      </w:r>
    </w:p>
    <w:p>
      <w:pPr>
        <w:keepLines w:val="0"/>
      </w:pPr>
      <w:r>
        <w:rPr>
          <w:rFonts w:ascii="Aptos" w:hAnsi="Aptos"/>
          <w:b w:val="0"/>
          <w:i w:val="0"/>
          <w:color w:val="243446"/>
        </w:rPr>
        <w:t>A baby or very young child may communicate through recognition, gaze, reaching, smiling, vocalising, relaxing, turning away, returning, crying, settling, seeking, play, protest, distress, curiosity, familiarity and repair.</w:t>
      </w:r>
    </w:p>
    <w:p>
      <w:pPr>
        <w:keepLines/>
      </w:pPr>
      <w:r>
        <w:rPr>
          <w:rFonts w:ascii="Aptos" w:hAnsi="Aptos"/>
          <w:b w:val="0"/>
          <w:i w:val="0"/>
          <w:color w:val="243446"/>
        </w:rPr>
        <w:t>These signals require careful adult interpretation. They do not interpret themselves, and no single positive or distressed response should be treated as conclusive.</w:t>
      </w:r>
    </w:p>
    <w:p>
      <w:pPr>
        <w:keepLines/>
      </w:pPr>
      <w:r>
        <w:rPr>
          <w:rFonts w:ascii="Aptos" w:hAnsi="Aptos"/>
          <w:b w:val="0"/>
          <w:i w:val="0"/>
          <w:color w:val="243446"/>
        </w:rPr>
        <w:t>But where prior concern about an adult dominates the field, a different risk appears: the child’s signal may be overruled before it has been properly considered.</w:t>
      </w:r>
    </w:p>
    <w:p>
      <w:pPr>
        <w:keepLines/>
      </w:pPr>
      <w:r>
        <w:rPr>
          <w:rFonts w:ascii="Aptos" w:hAnsi="Aptos"/>
          <w:b w:val="0"/>
          <w:i w:val="0"/>
          <w:color w:val="243446"/>
        </w:rPr>
        <w:t>The behaviour is no longer interpreted from the child outward. It is interpreted through the adult’s existing risk profile.</w:t>
      </w:r>
    </w:p>
    <w:p>
      <w:pPr>
        <w:keepLines w:val="0"/>
      </w:pPr>
      <w:r>
        <w:rPr>
          <w:rFonts w:ascii="Aptos" w:hAnsi="Aptos"/>
          <w:b w:val="0"/>
          <w:i w:val="0"/>
          <w:color w:val="243446"/>
        </w:rPr>
        <w:t>A bond can be acknowledged, then neutralised. A positive interaction can be recorded, then underweighted. Enjoyment can be treated as overstimulation. Distress after contact can be treated as evidence against the relationship without the child’s state during contact being weighed alongside it: recognition, enjoyment, seeking, settling, play, connection, repair or ease. Transition, tiredness, separation, routine, grief, confusion and environment may also remain insufficiently tested.</w:t>
      </w:r>
    </w:p>
    <w:p>
      <w:pPr>
        <w:keepLines w:val="0"/>
      </w:pPr>
      <w:r>
        <w:rPr>
          <w:rFonts w:ascii="Aptos" w:hAnsi="Aptos"/>
          <w:b w:val="0"/>
          <w:i w:val="0"/>
          <w:color w:val="243446"/>
        </w:rPr>
        <w:t>This creates an evidential asymmetry. The child’s distress after the encounter is allowed to define what the encounter meant, while the child’s signals within the encounter are treated as secondary—or omitted from the reasoning altogether.</w:t>
      </w:r>
    </w:p>
    <w:p>
      <w:pPr>
        <w:keepLines/>
      </w:pPr>
      <w:r>
        <w:rPr>
          <w:rFonts w:ascii="Aptos" w:hAnsi="Aptos"/>
          <w:b w:val="0"/>
          <w:i w:val="0"/>
          <w:color w:val="243446"/>
        </w:rPr>
        <w:t>The infant remains visible in the record, but prior concern decides what the infant is allowed to mean.</w:t>
      </w:r>
    </w:p>
    <w:p>
      <w:pPr>
        <w:keepLines/>
      </w:pPr>
      <w:r>
        <w:rPr>
          <w:rFonts w:ascii="Aptos" w:hAnsi="Aptos"/>
          <w:b w:val="0"/>
          <w:i w:val="0"/>
          <w:color w:val="243446"/>
        </w:rPr>
        <w:t>That is not the same as preserving the child’s voice.</w:t>
      </w:r>
    </w:p>
    <w:p>
      <w:pPr>
        <w:pStyle w:val="Heading1"/>
        <w:keepNext/>
      </w:pPr>
      <w:r>
        <w:t>Prior concern matters—but it must not settle every later meaning</w:t>
      </w:r>
    </w:p>
    <w:p>
      <w:pPr>
        <w:keepLines/>
      </w:pPr>
      <w:r>
        <w:rPr>
          <w:rFonts w:ascii="Aptos" w:hAnsi="Aptos"/>
          <w:b w:val="0"/>
          <w:i w:val="0"/>
          <w:color w:val="243446"/>
        </w:rPr>
        <w:t>Prior concern may be serious, relevant and necessary to safeguarding. It should not be erased merely because a child also shows warmth, recognition or attachment.</w:t>
      </w:r>
    </w:p>
    <w:p>
      <w:pPr>
        <w:keepLines/>
      </w:pPr>
      <w:r>
        <w:rPr>
          <w:rFonts w:ascii="Aptos" w:hAnsi="Aptos"/>
          <w:b w:val="0"/>
          <w:i w:val="0"/>
          <w:color w:val="243446"/>
        </w:rPr>
        <w:t>Equally, prior concern must not become an interpretive shortcut through which every later signal receives a predetermined meaning.</w:t>
      </w:r>
    </w:p>
    <w:p>
      <w:pPr>
        <w:keepLines/>
      </w:pPr>
      <w:r>
        <w:rPr>
          <w:rFonts w:ascii="Aptos" w:hAnsi="Aptos"/>
          <w:b w:val="0"/>
          <w:i w:val="0"/>
          <w:color w:val="243446"/>
        </w:rPr>
        <w:t>The practice task is not to choose between concern and relationship. It is to preserve both accurately enough for each to inform the decision.</w:t>
      </w:r>
    </w:p>
    <w:p>
      <w:pPr>
        <w:keepLines/>
      </w:pPr>
      <w:r>
        <w:rPr>
          <w:rFonts w:ascii="Aptos" w:hAnsi="Aptos"/>
          <w:b w:val="0"/>
          <w:i w:val="0"/>
          <w:color w:val="243446"/>
        </w:rPr>
        <w:t>That requires a visible distinction between:</w:t>
      </w:r>
    </w:p>
    <w:p>
      <w:pPr>
        <w:pStyle w:val="ListBullet"/>
        <w:keepLines/>
      </w:pPr>
      <w:r>
        <w:rPr>
          <w:rFonts w:ascii="Aptos" w:hAnsi="Aptos"/>
          <w:b w:val="0"/>
          <w:i w:val="0"/>
          <w:color w:val="243446"/>
        </w:rPr>
        <w:t>what the child did;</w:t>
      </w:r>
    </w:p>
    <w:p>
      <w:pPr>
        <w:pStyle w:val="ListBullet"/>
        <w:keepLines/>
      </w:pPr>
      <w:r>
        <w:rPr>
          <w:rFonts w:ascii="Aptos" w:hAnsi="Aptos"/>
          <w:b w:val="0"/>
          <w:i w:val="0"/>
          <w:color w:val="243446"/>
        </w:rPr>
        <w:t>the conditions in which it occurred;</w:t>
      </w:r>
    </w:p>
    <w:p>
      <w:pPr>
        <w:pStyle w:val="ListBullet"/>
        <w:keepLines/>
      </w:pPr>
      <w:r>
        <w:rPr>
          <w:rFonts w:ascii="Aptos" w:hAnsi="Aptos"/>
          <w:b w:val="0"/>
          <w:i w:val="0"/>
          <w:color w:val="243446"/>
        </w:rPr>
        <w:t>what the observer inferred;</w:t>
      </w:r>
    </w:p>
    <w:p>
      <w:pPr>
        <w:pStyle w:val="ListBullet"/>
        <w:keepLines/>
      </w:pPr>
      <w:r>
        <w:rPr>
          <w:rFonts w:ascii="Aptos" w:hAnsi="Aptos"/>
          <w:b w:val="0"/>
          <w:i w:val="0"/>
          <w:color w:val="243446"/>
        </w:rPr>
        <w:t>what alternative meanings were considered;</w:t>
      </w:r>
    </w:p>
    <w:p>
      <w:pPr>
        <w:pStyle w:val="ListBullet"/>
        <w:keepLines/>
      </w:pPr>
      <w:r>
        <w:rPr>
          <w:rFonts w:ascii="Aptos" w:hAnsi="Aptos"/>
          <w:b w:val="0"/>
          <w:i w:val="0"/>
          <w:color w:val="243446"/>
        </w:rPr>
        <w:t>what wider evidence supports the interpretation;</w:t>
      </w:r>
    </w:p>
    <w:p>
      <w:pPr>
        <w:pStyle w:val="ListBullet"/>
        <w:keepLines/>
      </w:pPr>
      <w:r>
        <w:rPr>
          <w:rFonts w:ascii="Aptos" w:hAnsi="Aptos"/>
          <w:b w:val="0"/>
          <w:i w:val="0"/>
          <w:color w:val="243446"/>
        </w:rPr>
        <w:t>and how much weight the interpretation is being asked to carry.</w:t>
      </w:r>
    </w:p>
    <w:p>
      <w:pPr>
        <w:keepLines/>
      </w:pPr>
      <w:r>
        <w:rPr>
          <w:rFonts w:ascii="Aptos" w:hAnsi="Aptos"/>
          <w:b w:val="0"/>
          <w:i w:val="0"/>
          <w:color w:val="243446"/>
        </w:rPr>
        <w:t>Positive child signal is not decoration. It is developmental and relational evidence.</w:t>
      </w:r>
    </w:p>
    <w:p>
      <w:pPr>
        <w:keepLines/>
      </w:pPr>
      <w:r>
        <w:rPr>
          <w:rFonts w:ascii="Aptos" w:hAnsi="Aptos"/>
          <w:b w:val="0"/>
          <w:i w:val="0"/>
          <w:color w:val="243446"/>
        </w:rPr>
        <w:t>It does not cancel risk. But it should not disappear simply because it complicates an established direction of travel.</w:t>
      </w:r>
    </w:p>
    <w:p>
      <w:pPr>
        <w:pStyle w:val="Heading1"/>
        <w:keepNext/>
      </w:pPr>
      <w:r>
        <w:t>Severance changes the evidence field</w:t>
      </w:r>
    </w:p>
    <w:p>
      <w:pPr>
        <w:keepLines/>
      </w:pPr>
      <w:r>
        <w:rPr>
          <w:rFonts w:ascii="Aptos" w:hAnsi="Aptos"/>
          <w:b w:val="0"/>
          <w:i w:val="0"/>
          <w:color w:val="243446"/>
        </w:rPr>
        <w:t>When family time or another significant relationship is restricted or stopped, the system does not only change the relationship.</w:t>
      </w:r>
    </w:p>
    <w:p>
      <w:pPr>
        <w:keepLines/>
      </w:pPr>
      <w:r>
        <w:rPr>
          <w:rFonts w:ascii="Aptos" w:hAnsi="Aptos"/>
          <w:b w:val="0"/>
          <w:i w:val="0"/>
          <w:color w:val="243446"/>
        </w:rPr>
        <w:t>It changes what evidence can exist.</w:t>
      </w:r>
    </w:p>
    <w:p>
      <w:pPr>
        <w:keepLines w:val="0"/>
      </w:pPr>
      <w:r>
        <w:rPr>
          <w:rFonts w:ascii="Aptos" w:hAnsi="Aptos"/>
          <w:b w:val="0"/>
          <w:i w:val="0"/>
          <w:color w:val="243446"/>
        </w:rPr>
        <w:t>There may be no further ordinary moments, no further observed play, no further opportunities for recognition, return, repair, settling or child-led engagement. The relationship may no longer be visible in the settings where it previously appeared.</w:t>
      </w:r>
    </w:p>
    <w:p>
      <w:pPr>
        <w:keepLines/>
      </w:pPr>
      <w:r>
        <w:rPr>
          <w:rFonts w:ascii="Aptos" w:hAnsi="Aptos"/>
          <w:b w:val="0"/>
          <w:i w:val="0"/>
          <w:color w:val="243446"/>
        </w:rPr>
        <w:t>Once the route is closed, fresh evidence cannot emerge through it.</w:t>
      </w:r>
    </w:p>
    <w:p>
      <w:pPr>
        <w:keepLines/>
      </w:pPr>
      <w:r>
        <w:rPr>
          <w:rFonts w:ascii="Aptos" w:hAnsi="Aptos"/>
          <w:b w:val="0"/>
          <w:i w:val="0"/>
          <w:color w:val="243446"/>
        </w:rPr>
        <w:t>Later, the absence of new relationship evidence may look neutral. It is not necessarily neutral. It may have been partly produced by the earlier decision.</w:t>
      </w:r>
    </w:p>
    <w:p>
      <w:pPr>
        <w:keepLines/>
      </w:pPr>
      <w:r>
        <w:rPr>
          <w:rFonts w:ascii="Aptos" w:hAnsi="Aptos"/>
          <w:b w:val="0"/>
          <w:i w:val="0"/>
          <w:color w:val="243446"/>
        </w:rPr>
        <w:t>This does not mean restriction or severance is never necessary. Safeguarding may require either. It means that decisions and later records should remain honest about their evidential consequences.</w:t>
      </w:r>
    </w:p>
    <w:p>
      <w:pPr>
        <w:keepLines/>
      </w:pPr>
      <w:r>
        <w:rPr>
          <w:rFonts w:ascii="Aptos" w:hAnsi="Aptos"/>
          <w:b w:val="0"/>
          <w:i w:val="0"/>
          <w:color w:val="243446"/>
        </w:rPr>
        <w:t>A child-centred system must not confuse a relationship made harder to see with a relationship that was never there.</w:t>
      </w:r>
    </w:p>
    <w:p>
      <w:pPr>
        <w:pStyle w:val="Heading1"/>
        <w:keepNext/>
      </w:pPr>
      <w:r>
        <w:t>False completeness</w:t>
      </w:r>
    </w:p>
    <w:p>
      <w:pPr>
        <w:keepLines/>
      </w:pPr>
      <w:r>
        <w:rPr>
          <w:rFonts w:ascii="Aptos" w:hAnsi="Aptos"/>
          <w:b w:val="0"/>
          <w:i w:val="0"/>
          <w:color w:val="243446"/>
        </w:rPr>
        <w:t>A record can be long, detailed and still be incomplete in the place that matters most.</w:t>
      </w:r>
    </w:p>
    <w:p>
      <w:pPr>
        <w:keepLines w:val="0"/>
      </w:pPr>
      <w:r>
        <w:rPr>
          <w:rFonts w:ascii="Aptos" w:hAnsi="Aptos"/>
          <w:b w:val="0"/>
          <w:i w:val="0"/>
          <w:color w:val="243446"/>
        </w:rPr>
        <w:t>It may contain history, allegations, risks, professional views, family background, chronology and conclusions. Yet if it omits, compresses or underweights the child’s relationship evidence, length does not make it balanced.</w:t>
      </w:r>
    </w:p>
    <w:p>
      <w:pPr>
        <w:keepLines/>
      </w:pPr>
      <w:r>
        <w:rPr>
          <w:rFonts w:ascii="Aptos" w:hAnsi="Aptos"/>
          <w:b w:val="0"/>
          <w:i w:val="0"/>
          <w:color w:val="243446"/>
        </w:rPr>
        <w:t>Detail is not the same as completeness.</w:t>
      </w:r>
    </w:p>
    <w:p>
      <w:pPr>
        <w:keepLines w:val="0"/>
      </w:pPr>
      <w:r>
        <w:rPr>
          <w:rFonts w:ascii="Aptos" w:hAnsi="Aptos"/>
          <w:b w:val="0"/>
          <w:i w:val="0"/>
          <w:color w:val="243446"/>
        </w:rPr>
        <w:t>False completeness becomes especially serious when it is used to prevent later reconsideration. If a report is accepted as comprehensive, evidence that was omitted, underweighted or never properly tested may subsequently be treated as irrelevant—not because it has been examined and rejected, but because the earlier report is assumed already to have settled the field.</w:t>
      </w:r>
    </w:p>
    <w:p>
      <w:pPr>
        <w:keepLines/>
      </w:pPr>
      <w:r>
        <w:rPr>
          <w:rFonts w:ascii="Aptos" w:hAnsi="Aptos"/>
          <w:b w:val="0"/>
          <w:i w:val="0"/>
          <w:color w:val="243446"/>
        </w:rPr>
        <w:t>The claim of completeness can then protect the original incompleteness.</w:t>
      </w:r>
    </w:p>
    <w:p>
      <w:pPr>
        <w:keepLines/>
      </w:pPr>
      <w:r>
        <w:rPr>
          <w:rFonts w:ascii="Aptos" w:hAnsi="Aptos"/>
          <w:b w:val="0"/>
          <w:i w:val="0"/>
          <w:color w:val="243446"/>
        </w:rPr>
        <w:t>The sequence becomes:</w:t>
      </w:r>
    </w:p>
    <w:p>
      <w:pPr>
        <w:keepLines/>
        <w:spacing w:before="160" w:after="200"/>
        <w:shd w:fill="F7F3EC"/>
        <w:pBdr>
          <w:left w:val="single" w:sz="18" w:space="8" w:color="B79B70"/>
        </w:pBdr>
        <w:ind w:left="173" w:right="115"/>
      </w:pPr>
      <w:r>
        <w:rPr>
          <w:rFonts w:ascii="Aptos" w:hAnsi="Aptos"/>
          <w:b/>
          <w:color w:val="243446"/>
          <w:sz w:val="22"/>
        </w:rPr>
        <w:t>relevant child signal is omitted or underweighted → one interpretation is given dominant weight → the account is accepted as comprehensive → the missing evidence is later treated as irrelevant because the account was comprehensive.</w:t>
      </w:r>
    </w:p>
    <w:p>
      <w:pPr>
        <w:keepLines/>
      </w:pPr>
      <w:r>
        <w:rPr>
          <w:rFonts w:ascii="Aptos" w:hAnsi="Aptos"/>
          <w:b w:val="0"/>
          <w:i w:val="0"/>
          <w:color w:val="243446"/>
        </w:rPr>
        <w:t>At that point, “comprehensive” no longer describes the quality of the evidence gathered. It functions as a closure word: a reason not to reopen what the report failed to carry.</w:t>
      </w:r>
    </w:p>
    <w:p>
      <w:pPr>
        <w:keepLines/>
      </w:pPr>
      <w:r>
        <w:rPr>
          <w:rFonts w:ascii="Aptos" w:hAnsi="Aptos"/>
          <w:b w:val="0"/>
          <w:i w:val="0"/>
          <w:color w:val="243446"/>
        </w:rPr>
        <w:t>A record may be:</w:t>
      </w:r>
    </w:p>
    <w:p>
      <w:pPr>
        <w:pStyle w:val="ListBullet"/>
        <w:keepLines/>
      </w:pPr>
      <w:r>
        <w:rPr>
          <w:rFonts w:ascii="Aptos" w:hAnsi="Aptos"/>
          <w:b w:val="0"/>
          <w:i w:val="0"/>
          <w:color w:val="243446"/>
        </w:rPr>
        <w:t>comprehensive about concern and incomplete about relationship;</w:t>
      </w:r>
    </w:p>
    <w:p>
      <w:pPr>
        <w:pStyle w:val="ListBullet"/>
        <w:keepLines/>
      </w:pPr>
      <w:r>
        <w:rPr>
          <w:rFonts w:ascii="Aptos" w:hAnsi="Aptos"/>
          <w:b w:val="0"/>
          <w:i w:val="0"/>
          <w:color w:val="243446"/>
        </w:rPr>
        <w:t>comprehensive about risk and incomplete about support;</w:t>
      </w:r>
    </w:p>
    <w:p>
      <w:pPr>
        <w:pStyle w:val="ListBullet"/>
        <w:keepLines/>
      </w:pPr>
      <w:r>
        <w:rPr>
          <w:rFonts w:ascii="Aptos" w:hAnsi="Aptos"/>
          <w:b w:val="0"/>
          <w:i w:val="0"/>
          <w:color w:val="243446"/>
        </w:rPr>
        <w:t>comprehensive about history and incomplete about change;</w:t>
      </w:r>
    </w:p>
    <w:p>
      <w:pPr>
        <w:pStyle w:val="ListBullet"/>
        <w:keepLines/>
      </w:pPr>
      <w:r>
        <w:rPr>
          <w:rFonts w:ascii="Aptos" w:hAnsi="Aptos"/>
          <w:b w:val="0"/>
          <w:i w:val="0"/>
          <w:color w:val="243446"/>
        </w:rPr>
        <w:t>comprehensive about adult interpretation and incomplete about child signal;</w:t>
      </w:r>
    </w:p>
    <w:p>
      <w:pPr>
        <w:pStyle w:val="ListBullet"/>
        <w:keepLines/>
      </w:pPr>
      <w:r>
        <w:rPr>
          <w:rFonts w:ascii="Aptos" w:hAnsi="Aptos"/>
          <w:b w:val="0"/>
          <w:i w:val="0"/>
          <w:color w:val="243446"/>
        </w:rPr>
        <w:t>comprehensive about why restriction was justified and incomplete about what restriction then made impossible to observe.</w:t>
      </w:r>
    </w:p>
    <w:p>
      <w:pPr>
        <w:keepLines/>
      </w:pPr>
      <w:r>
        <w:rPr>
          <w:rFonts w:ascii="Aptos" w:hAnsi="Aptos"/>
          <w:b w:val="0"/>
          <w:i w:val="0"/>
          <w:color w:val="243446"/>
        </w:rPr>
        <w:t>The question is therefore not only, “How much information is in the record?”</w:t>
      </w:r>
    </w:p>
    <w:p>
      <w:pPr>
        <w:keepLines/>
      </w:pPr>
      <w:r>
        <w:rPr>
          <w:rFonts w:ascii="Aptos" w:hAnsi="Aptos"/>
          <w:b w:val="0"/>
          <w:i w:val="0"/>
          <w:color w:val="243446"/>
        </w:rPr>
        <w:t>It is also, “What kinds of evidence were able to enter, what meanings were permitted to travel, and what did the decision itself prevent from becoming knowable later?”</w:t>
      </w:r>
    </w:p>
    <w:p>
      <w:pPr>
        <w:pStyle w:val="Heading1"/>
        <w:keepNext/>
      </w:pPr>
      <w:r>
        <w:t>Bond is not a footnote</w:t>
      </w:r>
    </w:p>
    <w:p>
      <w:pPr>
        <w:keepLines/>
      </w:pPr>
      <w:r>
        <w:rPr>
          <w:rFonts w:ascii="Aptos" w:hAnsi="Aptos"/>
          <w:b w:val="0"/>
          <w:i w:val="0"/>
          <w:color w:val="243446"/>
        </w:rPr>
        <w:t>If a child has a bond with a parent, sibling, relative or other significant person, that bond is not decorative information.</w:t>
      </w:r>
    </w:p>
    <w:p>
      <w:pPr>
        <w:keepLines/>
      </w:pPr>
      <w:r>
        <w:rPr>
          <w:rFonts w:ascii="Aptos" w:hAnsi="Aptos"/>
          <w:b w:val="0"/>
          <w:i w:val="0"/>
          <w:color w:val="243446"/>
        </w:rPr>
        <w:t>It is child evidence.</w:t>
      </w:r>
    </w:p>
    <w:p>
      <w:pPr>
        <w:keepLines w:val="0"/>
      </w:pPr>
      <w:r>
        <w:rPr>
          <w:rFonts w:ascii="Aptos" w:hAnsi="Aptos"/>
          <w:b w:val="0"/>
          <w:i w:val="0"/>
          <w:color w:val="243446"/>
        </w:rPr>
        <w:t>It should be carried into analysis rather than mentioned briefly before being set aside. Carrying it does not predetermine the outcome. It means the decision remains answerable to the child who was actually present, including the child’s attachments, recognitions, preferences and losses.</w:t>
      </w:r>
    </w:p>
    <w:p>
      <w:pPr>
        <w:keepLines/>
      </w:pPr>
      <w:r>
        <w:rPr>
          <w:rFonts w:ascii="Aptos" w:hAnsi="Aptos"/>
          <w:b w:val="0"/>
          <w:i w:val="0"/>
          <w:color w:val="243446"/>
        </w:rPr>
        <w:t>A bond may coexist with concern. A warm interaction may coexist with risk. A child may seek someone whose care still requires support, supervision or restriction.</w:t>
      </w:r>
    </w:p>
    <w:p>
      <w:pPr>
        <w:keepLines/>
      </w:pPr>
      <w:r>
        <w:rPr>
          <w:rFonts w:ascii="Aptos" w:hAnsi="Aptos"/>
          <w:b w:val="0"/>
          <w:i w:val="0"/>
          <w:color w:val="243446"/>
        </w:rPr>
        <w:t>Human relationships do not become false because the professional decision is difficult.</w:t>
      </w:r>
    </w:p>
    <w:p>
      <w:pPr>
        <w:keepLines/>
      </w:pPr>
      <w:r>
        <w:rPr>
          <w:rFonts w:ascii="Aptos" w:hAnsi="Aptos"/>
          <w:b w:val="0"/>
          <w:i w:val="0"/>
          <w:color w:val="243446"/>
        </w:rPr>
        <w:t>The record should be capable of holding that complexity without forcing one part of the child’s reality to erase another.</w:t>
      </w:r>
    </w:p>
    <w:p>
      <w:pPr>
        <w:pStyle w:val="Heading1"/>
        <w:keepNext/>
      </w:pPr>
      <w:r>
        <w:t>A practice check before records and decisions are finalised</w:t>
      </w:r>
    </w:p>
    <w:p>
      <w:pPr>
        <w:keepLines/>
      </w:pPr>
      <w:r>
        <w:rPr>
          <w:rFonts w:ascii="Aptos" w:hAnsi="Aptos"/>
          <w:b w:val="0"/>
          <w:i w:val="0"/>
          <w:color w:val="243446"/>
        </w:rPr>
        <w:t>Before a record, assessment or review is finalised, practitioners and decision-makers can ask:</w:t>
      </w:r>
    </w:p>
    <w:p>
      <w:pPr>
        <w:pStyle w:val="ListNumber"/>
        <w:keepLines/>
      </w:pPr>
      <w:r>
        <w:rPr>
          <w:rFonts w:ascii="Aptos" w:hAnsi="Aptos"/>
          <w:b w:val="0"/>
          <w:i w:val="0"/>
          <w:color w:val="243446"/>
        </w:rPr>
        <w:t>What did the child actually show?</w:t>
      </w:r>
    </w:p>
    <w:p>
      <w:pPr>
        <w:pStyle w:val="ListNumber"/>
        <w:keepLines/>
      </w:pPr>
      <w:r>
        <w:rPr>
          <w:rFonts w:ascii="Aptos" w:hAnsi="Aptos"/>
          <w:b w:val="0"/>
          <w:i w:val="0"/>
          <w:color w:val="243446"/>
        </w:rPr>
        <w:t>Who observed it, where, and for how long?</w:t>
      </w:r>
    </w:p>
    <w:p>
      <w:pPr>
        <w:pStyle w:val="ListNumber"/>
        <w:keepLines/>
      </w:pPr>
      <w:r>
        <w:rPr>
          <w:rFonts w:ascii="Aptos" w:hAnsi="Aptos"/>
          <w:b w:val="0"/>
          <w:i w:val="0"/>
          <w:color w:val="243446"/>
        </w:rPr>
        <w:t>What happened immediately before and after the recorded moment?</w:t>
      </w:r>
    </w:p>
    <w:p>
      <w:pPr>
        <w:pStyle w:val="ListNumber"/>
        <w:keepLines/>
      </w:pPr>
      <w:r>
        <w:rPr>
          <w:rFonts w:ascii="Aptos" w:hAnsi="Aptos"/>
          <w:b w:val="0"/>
          <w:i w:val="0"/>
          <w:color w:val="243446"/>
        </w:rPr>
        <w:t>If distress appeared after contact, what was the child showing during contact, and was that evidence given equal analytical standing?</w:t>
      </w:r>
    </w:p>
    <w:p>
      <w:pPr>
        <w:pStyle w:val="ListNumber"/>
        <w:keepLines/>
      </w:pPr>
      <w:r>
        <w:rPr>
          <w:rFonts w:ascii="Aptos" w:hAnsi="Aptos"/>
          <w:b w:val="0"/>
          <w:i w:val="0"/>
          <w:color w:val="243446"/>
        </w:rPr>
        <w:t>What conditions might have shaped the signal?</w:t>
      </w:r>
    </w:p>
    <w:p>
      <w:pPr>
        <w:pStyle w:val="ListNumber"/>
        <w:keepLines/>
      </w:pPr>
      <w:r>
        <w:rPr>
          <w:rFonts w:ascii="Aptos" w:hAnsi="Aptos"/>
          <w:b w:val="0"/>
          <w:i w:val="0"/>
          <w:color w:val="243446"/>
        </w:rPr>
        <w:t>What interpretation has been added to the observation?</w:t>
      </w:r>
    </w:p>
    <w:p>
      <w:pPr>
        <w:pStyle w:val="ListNumber"/>
        <w:keepLines/>
      </w:pPr>
      <w:r>
        <w:rPr>
          <w:rFonts w:ascii="Aptos" w:hAnsi="Aptos"/>
          <w:b w:val="0"/>
          <w:i w:val="0"/>
          <w:color w:val="243446"/>
        </w:rPr>
        <w:t>What alternative meanings were considered?</w:t>
      </w:r>
    </w:p>
    <w:p>
      <w:pPr>
        <w:pStyle w:val="ListNumber"/>
        <w:keepLines/>
      </w:pPr>
      <w:r>
        <w:rPr>
          <w:rFonts w:ascii="Aptos" w:hAnsi="Aptos"/>
          <w:b w:val="0"/>
          <w:i w:val="0"/>
          <w:color w:val="243446"/>
        </w:rPr>
        <w:t>Was the signal consistent, repeated, repaired or contradicted over time?</w:t>
      </w:r>
    </w:p>
    <w:p>
      <w:pPr>
        <w:pStyle w:val="ListNumber"/>
        <w:keepLines/>
      </w:pPr>
      <w:r>
        <w:rPr>
          <w:rFonts w:ascii="Aptos" w:hAnsi="Aptos"/>
          <w:b w:val="0"/>
          <w:i w:val="0"/>
          <w:color w:val="243446"/>
        </w:rPr>
        <w:t>Did the child return, seek, settle, recognise or re-engage?</w:t>
      </w:r>
    </w:p>
    <w:p>
      <w:pPr>
        <w:pStyle w:val="ListNumber"/>
        <w:keepLines/>
      </w:pPr>
      <w:r>
        <w:rPr>
          <w:rFonts w:ascii="Aptos" w:hAnsi="Aptos"/>
          <w:b w:val="0"/>
          <w:i w:val="0"/>
          <w:color w:val="243446"/>
        </w:rPr>
        <w:t>Has positive signal entered the analysis, or only the descriptive background?</w:t>
      </w:r>
    </w:p>
    <w:p>
      <w:pPr>
        <w:pStyle w:val="ListNumber"/>
        <w:keepLines/>
      </w:pPr>
      <w:r>
        <w:rPr>
          <w:rFonts w:ascii="Aptos" w:hAnsi="Aptos"/>
          <w:b w:val="0"/>
          <w:i w:val="0"/>
          <w:color w:val="243446"/>
        </w:rPr>
        <w:t>Is prior concern determining what the child’s behaviour is allowed to mean?</w:t>
      </w:r>
    </w:p>
    <w:p>
      <w:pPr>
        <w:pStyle w:val="ListNumber"/>
        <w:keepLines/>
      </w:pPr>
      <w:r>
        <w:rPr>
          <w:rFonts w:ascii="Aptos" w:hAnsi="Aptos"/>
          <w:b w:val="0"/>
          <w:i w:val="0"/>
          <w:color w:val="243446"/>
        </w:rPr>
        <w:t>Has a restriction changed the evidence that can now be generated?</w:t>
      </w:r>
    </w:p>
    <w:p>
      <w:pPr>
        <w:pStyle w:val="ListNumber"/>
        <w:keepLines/>
      </w:pPr>
      <w:r>
        <w:rPr>
          <w:rFonts w:ascii="Aptos" w:hAnsi="Aptos"/>
          <w:b w:val="0"/>
          <w:i w:val="0"/>
          <w:color w:val="243446"/>
        </w:rPr>
        <w:t>Is the record calling itself comprehensive without making that limitation visible?</w:t>
      </w:r>
    </w:p>
    <w:p>
      <w:pPr>
        <w:pStyle w:val="ListNumber"/>
        <w:keepLines/>
      </w:pPr>
      <w:r>
        <w:rPr>
          <w:rFonts w:ascii="Aptos" w:hAnsi="Aptos"/>
          <w:b w:val="0"/>
          <w:i w:val="0"/>
          <w:color w:val="243446"/>
        </w:rPr>
        <w:t>Is “comprehensive” being used to test omitted evidence—or to declare that evidence irrelevant without testing it?</w:t>
      </w:r>
    </w:p>
    <w:p>
      <w:pPr>
        <w:keepLines/>
      </w:pPr>
      <w:r>
        <w:rPr>
          <w:rFonts w:ascii="Aptos" w:hAnsi="Aptos"/>
          <w:b w:val="0"/>
          <w:i w:val="0"/>
          <w:color w:val="243446"/>
        </w:rPr>
        <w:t>One final question should sit above the rest:</w:t>
      </w:r>
    </w:p>
    <w:p>
      <w:pPr>
        <w:keepLines/>
        <w:spacing w:before="160" w:after="200"/>
        <w:shd w:fill="EDF4F1"/>
        <w:pBdr>
          <w:left w:val="single" w:sz="18" w:space="8" w:color="4F7166"/>
        </w:pBdr>
        <w:ind w:left="173" w:right="115"/>
      </w:pPr>
      <w:r>
        <w:rPr>
          <w:rFonts w:ascii="Aptos" w:hAnsi="Aptos"/>
          <w:b/>
          <w:color w:val="243446"/>
          <w:sz w:val="22"/>
        </w:rPr>
        <w:t>Does the conclusion remain answerable to the child’s actual signal, or has adult concern begun speaking through the child?</w:t>
      </w:r>
    </w:p>
    <w:p>
      <w:pPr>
        <w:pStyle w:val="Heading1"/>
        <w:keepNext/>
        <w:pageBreakBefore/>
      </w:pPr>
      <w:r>
        <w:t>Safeguarding boundary</w:t>
      </w:r>
    </w:p>
    <w:p>
      <w:pPr>
        <w:keepLines/>
      </w:pPr>
      <w:r>
        <w:rPr>
          <w:rFonts w:ascii="Aptos" w:hAnsi="Aptos"/>
          <w:b w:val="0"/>
          <w:i w:val="0"/>
          <w:color w:val="243446"/>
        </w:rPr>
        <w:t>This note is not an argument against safeguarding, professional judgement, supported family time, restriction or severance where these are necessary.</w:t>
      </w:r>
    </w:p>
    <w:p>
      <w:pPr>
        <w:keepLines/>
      </w:pPr>
      <w:r>
        <w:rPr>
          <w:rFonts w:ascii="Aptos" w:hAnsi="Aptos"/>
          <w:b w:val="0"/>
          <w:i w:val="0"/>
          <w:color w:val="243446"/>
        </w:rPr>
        <w:t>It does not suggest that positive behaviour proves safety, that attachment cancels harm, or that every relationship should continue unchanged.</w:t>
      </w:r>
    </w:p>
    <w:p>
      <w:pPr>
        <w:keepLines/>
      </w:pPr>
      <w:r>
        <w:rPr>
          <w:rFonts w:ascii="Aptos" w:hAnsi="Aptos"/>
          <w:b w:val="0"/>
          <w:i w:val="0"/>
          <w:color w:val="243446"/>
        </w:rPr>
        <w:t>It asks for a more precise evidential route:</w:t>
      </w:r>
    </w:p>
    <w:p>
      <w:pPr>
        <w:pStyle w:val="ListBullet"/>
        <w:keepLines/>
      </w:pPr>
      <w:r>
        <w:rPr>
          <w:rFonts w:ascii="Aptos" w:hAnsi="Aptos"/>
          <w:b w:val="0"/>
          <w:i w:val="0"/>
          <w:color w:val="243446"/>
        </w:rPr>
        <w:t>observation should remain distinguishable from inference;</w:t>
      </w:r>
    </w:p>
    <w:p>
      <w:pPr>
        <w:pStyle w:val="ListBullet"/>
        <w:keepLines/>
      </w:pPr>
      <w:r>
        <w:rPr>
          <w:rFonts w:ascii="Aptos" w:hAnsi="Aptos"/>
          <w:b w:val="0"/>
          <w:i w:val="0"/>
          <w:color w:val="243446"/>
        </w:rPr>
        <w:t>concern should remain visible without becoming totalising;</w:t>
      </w:r>
    </w:p>
    <w:p>
      <w:pPr>
        <w:pStyle w:val="ListBullet"/>
        <w:keepLines/>
      </w:pPr>
      <w:r>
        <w:rPr>
          <w:rFonts w:ascii="Aptos" w:hAnsi="Aptos"/>
          <w:b w:val="0"/>
          <w:i w:val="0"/>
          <w:color w:val="243446"/>
        </w:rPr>
        <w:t>positive child signal should be allowed to affect analysis;</w:t>
      </w:r>
    </w:p>
    <w:p>
      <w:pPr>
        <w:pStyle w:val="ListBullet"/>
        <w:keepLines/>
      </w:pPr>
      <w:r>
        <w:rPr>
          <w:rFonts w:ascii="Aptos" w:hAnsi="Aptos"/>
          <w:b w:val="0"/>
          <w:i w:val="0"/>
          <w:color w:val="243446"/>
        </w:rPr>
        <w:t>decisions should acknowledge when they alter the future evidence field;</w:t>
      </w:r>
    </w:p>
    <w:p>
      <w:pPr>
        <w:pStyle w:val="ListBullet"/>
        <w:keepLines/>
      </w:pPr>
      <w:r>
        <w:rPr>
          <w:rFonts w:ascii="Aptos" w:hAnsi="Aptos"/>
          <w:b w:val="0"/>
          <w:i w:val="0"/>
          <w:color w:val="243446"/>
        </w:rPr>
        <w:t>and records should not claim a completeness their own route has made impossible.</w:t>
      </w:r>
    </w:p>
    <w:p>
      <w:pPr>
        <w:keepLines/>
      </w:pPr>
      <w:r>
        <w:rPr>
          <w:rFonts w:ascii="Aptos" w:hAnsi="Aptos"/>
          <w:b/>
          <w:i w:val="0"/>
          <w:color w:val="4F7166"/>
        </w:rPr>
        <w:t>Safeguarding before theory.</w:t>
      </w:r>
    </w:p>
    <w:p>
      <w:pPr>
        <w:keepLines/>
      </w:pPr>
      <w:r>
        <w:rPr>
          <w:rFonts w:ascii="Aptos" w:hAnsi="Aptos"/>
          <w:b w:val="0"/>
          <w:i w:val="0"/>
          <w:color w:val="243446"/>
        </w:rPr>
        <w:t>But safeguarding is strengthened, not weakened, when the child’s actual signal survives the route into professional knowledge.</w:t>
      </w:r>
    </w:p>
    <w:p>
      <w:pPr>
        <w:pStyle w:val="Heading1"/>
        <w:keepNext/>
      </w:pPr>
      <w:r>
        <w:t>Core practice position</w:t>
      </w:r>
    </w:p>
    <w:p>
      <w:pPr>
        <w:keepLines/>
      </w:pPr>
      <w:r>
        <w:rPr>
          <w:rFonts w:ascii="Aptos" w:hAnsi="Aptos"/>
          <w:b w:val="0"/>
          <w:i w:val="0"/>
          <w:color w:val="243446"/>
        </w:rPr>
        <w:t>Prior concern must not decide which parts of the child are allowed to enter the record.</w:t>
      </w:r>
    </w:p>
    <w:p>
      <w:pPr>
        <w:keepLines/>
      </w:pPr>
      <w:r>
        <w:rPr>
          <w:rFonts w:ascii="Aptos" w:hAnsi="Aptos"/>
          <w:b w:val="0"/>
          <w:i w:val="0"/>
          <w:color w:val="243446"/>
        </w:rPr>
        <w:t>Do not record only the child who proves concern. Record the child who was actually there.</w:t>
      </w:r>
    </w:p>
    <w:p>
      <w:pPr>
        <w:keepLines/>
      </w:pPr>
      <w:r>
        <w:rPr>
          <w:rFonts w:ascii="Aptos" w:hAnsi="Aptos"/>
          <w:b w:val="0"/>
          <w:i w:val="0"/>
          <w:color w:val="243446"/>
        </w:rPr>
        <w:t>A system must not omit existing relationship evidence, close the route through which fresh evidence could appear, and then treat the remaining record as a complete account of the relationship.</w:t>
      </w:r>
    </w:p>
    <w:p>
      <w:pPr>
        <w:keepLines/>
      </w:pPr>
      <w:r>
        <w:rPr>
          <w:rFonts w:ascii="Aptos" w:hAnsi="Aptos"/>
          <w:b w:val="0"/>
          <w:i w:val="0"/>
          <w:color w:val="243446"/>
        </w:rPr>
        <w:t>The child’s signal was present. The task is to make sure adult systems do not replace it with a meaning decided in advance.</w:t>
      </w:r>
    </w:p>
    <w:p>
      <w:pPr>
        <w:spacing w:before="320" w:after="0"/>
        <w:pBdr>
          <w:top w:val="single" w:sz="8" w:space="8" w:color="D8E3DE"/>
        </w:pBdr>
      </w:pPr>
      <w:r>
        <w:rPr>
          <w:rFonts w:ascii="Aptos" w:hAnsi="Aptos"/>
          <w:b w:val="0"/>
          <w:i/>
          <w:color w:val="5B6470"/>
          <w:sz w:val="19"/>
        </w:rPr>
        <w:t>A public working note from The SCL Project — Speaking Charlotte’s Language. This is a practice-development resource, not official guidance, legal advice, assessment guidance, or commentary on an individual case.</w:t>
      </w:r>
    </w:p>
    <w:sectPr w:rsidR="00FC693F" w:rsidRPr="0006063C" w:rsidSect="00034616">
      <w:footerReference w:type="default" r:id="rId9"/>
      <w:pgSz w:w="12240" w:h="15840"/>
      <w:pgMar w:top="1181" w:right="1368" w:bottom="1181" w:left="1368" w:header="360" w:footer="54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Aptos" w:hAnsi="Aptos"/>
        <w:color w:val="5B6470"/>
        <w:sz w:val="16"/>
      </w:rPr>
      <w:t xml:space="preserve">fieldnotes.scot/speaking-charlottes-language.html  ·  Page </w:t>
    </w:r>
    <w:r>
      <w:fldChar w:fldCharType="begin"/>
      <w:instrText xml:space="preserve"> PAGE </w:instrText>
      <w:fldChar w:fldCharType="separate"/>
      <w:t>1</w: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93" w:lineRule="auto"/>
    </w:pPr>
    <w:rPr>
      <w:rFonts w:ascii="Aptos" w:hAnsi="Aptos"/>
      <w:b w:val="0"/>
      <w:i w:val="0"/>
      <w:color w:val="243446"/>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80" w:line="252" w:lineRule="auto"/>
      <w:outlineLvl w:val="0"/>
    </w:pPr>
    <w:rPr>
      <w:rFonts w:asciiTheme="majorHAnsi" w:eastAsiaTheme="majorEastAsia" w:hAnsiTheme="majorHAnsi" w:cstheme="majorBidi" w:ascii="Aptos" w:hAnsi="Aptos"/>
      <w:b/>
      <w:bCs/>
      <w:i w:val="0"/>
      <w:color w:val="4F7166"/>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59" w:lineRule="auto"/>
      <w:outlineLvl w:val="1"/>
    </w:pPr>
    <w:rPr>
      <w:rFonts w:asciiTheme="majorHAnsi" w:eastAsiaTheme="majorEastAsia" w:hAnsiTheme="majorHAnsi" w:cstheme="majorBidi" w:ascii="Aptos" w:hAnsi="Aptos"/>
      <w:b/>
      <w:bCs/>
      <w:i w:val="0"/>
      <w:color w:val="243446"/>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80" w:line="240" w:lineRule="auto" w:before="0"/>
      <w:contextualSpacing/>
    </w:pPr>
    <w:rPr>
      <w:rFonts w:asciiTheme="majorHAnsi" w:eastAsiaTheme="majorEastAsia" w:hAnsiTheme="majorHAnsi" w:cstheme="majorBidi" w:ascii="Aptos" w:hAnsi="Aptos"/>
      <w:b/>
      <w:i w:val="0"/>
      <w:color w:val="243446"/>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240" w:line="269" w:lineRule="auto"/>
    </w:pPr>
    <w:rPr>
      <w:rFonts w:asciiTheme="majorHAnsi" w:eastAsiaTheme="majorEastAsia" w:hAnsiTheme="majorHAnsi" w:cstheme="majorBidi" w:ascii="Aptos" w:hAnsi="Aptos"/>
      <w:b w:val="0"/>
      <w:i/>
      <w:iCs/>
      <w:color w:val="5B6470"/>
      <w:spacing w:val="15"/>
      <w:sz w:val="27"/>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before="0" w:after="80" w:line="288" w:lineRule="auto"/>
      <w:contextualSpacing/>
    </w:pPr>
    <w:rPr>
      <w:rFonts w:ascii="Aptos" w:hAnsi="Aptos"/>
      <w:b w:val="0"/>
      <w:i w:val="0"/>
      <w:color w:val="243446"/>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before="0" w:after="80" w:line="288" w:lineRule="auto"/>
      <w:contextualSpacing/>
    </w:pPr>
    <w:rPr>
      <w:rFonts w:ascii="Aptos" w:hAnsi="Aptos"/>
      <w:b w:val="0"/>
      <w:i w:val="0"/>
      <w:color w:val="243446"/>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andfirst">
    <w:name w:val="Standfirst"/>
    <w:pPr>
      <w:spacing w:before="80" w:after="280" w:line="300" w:lineRule="auto"/>
    </w:pPr>
    <w:rPr>
      <w:rFonts w:ascii="Aptos" w:hAnsi="Aptos"/>
      <w:b w:val="0"/>
      <w:i/>
      <w:color w:val="243446"/>
      <w:sz w:val="23"/>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When Prior Concern Speaks Over Infant Signal</dc:title>
  <dc:subject>The SCL Project — Speaking Charlotte’s Language practice note</dc:subject>
  <dc:creator>The SCL Project — Speaking Charlotte’s Language</dc:creator>
  <cp:keywords>infant signal, relationship evidence, post-contact distress, severance, false completeness</cp:keywords>
  <dc:description>Public working note; practice-development resource.</dc:description>
  <cp:lastModifiedBy/>
  <cp:revision>1</cp:revision>
  <dcterms:created xsi:type="dcterms:W3CDTF">2013-12-23T23:15:00Z</dcterms:created>
  <dcterms:modified xsi:type="dcterms:W3CDTF">2013-12-23T23:15:00Z</dcterms:modified>
  <cp:category/>
</cp:coreProperties>
</file>